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07E" w:rsidRPr="0091107E" w:rsidRDefault="0091107E" w:rsidP="0091107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Практическая работа 7</w:t>
      </w:r>
    </w:p>
    <w:p w:rsidR="0091107E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91107E" w:rsidRPr="00733CFF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733CFF">
        <w:rPr>
          <w:rFonts w:ascii="Times New Roman" w:hAnsi="Times New Roman" w:cs="Times New Roman"/>
          <w:b/>
          <w:i/>
          <w:color w:val="000000"/>
          <w:sz w:val="28"/>
          <w:szCs w:val="28"/>
        </w:rPr>
        <w:t>Компетенция местного исполнительного органа области</w:t>
      </w:r>
      <w:r w:rsidRPr="00733CFF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(акимат области)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z599"/>
      <w:r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К компетенции местного исполнительного органа области относятся:</w:t>
      </w:r>
    </w:p>
    <w:bookmarkEnd w:id="0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1" w:name="z601"/>
      <w:r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1-1) представление на утверждение местному представительному органу области границ пригородных зон городов районного значения;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z1614"/>
      <w:bookmarkEnd w:id="1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1-2) формирование состава земельной комиссии, разработка положения о ней и направление на утверждение в соответствующий местный представительный орган;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z602"/>
      <w:bookmarkEnd w:id="2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2) предоставление земельных участков для целей недропользования (для проведения работ по добыче; по совмещенной разведке и добыче; по строительству и (или) эксплуатации подземных сооружений, не связанных с разведкой и (или) добычей), строительства (реконструкции) магистральных трубопроводов, объектов переработки нефти и газа, а также принудительное отчуждение земельных участков для государственных нужд при обнаружении и под разработку месторождений полезных ископаемых, для строительства магистральных трубопроводов;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z603"/>
      <w:bookmarkEnd w:id="3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3) предоставление земельных участков под скотопрогонные трассы временного пользования межрайонного значения;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" w:name="z604"/>
      <w:bookmarkEnd w:id="4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4) выдача разрешений на использование земельных участков для проведения изыскательских работ согласно пункту 2 статьи 71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" w:name="z605"/>
      <w:bookmarkEnd w:id="5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5) предоставление земельных участков государственным научно-исследовательским организациям и их опытным хозяйствам, а также государственным семеноводческим хозяйствам и племенным заводам;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7" w:name="z606"/>
      <w:bookmarkEnd w:id="6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5-1) предоставление земельных участков, занятых территориальными водами, для строительства искусственных сооружений по согласованию с уполномоченным государственным органом в области использования и охраны водного фонда, водоснабжения, водоотведения;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8" w:name="z1589"/>
      <w:bookmarkEnd w:id="7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5-2) разработка и утверждение планов по развитию и реконструкции объектов пастбищной инфраструктуры;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9" w:name="z607"/>
      <w:bookmarkEnd w:id="8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6) резервирование земель в соответствии со статьей 49-2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0" w:name="z612"/>
      <w:bookmarkEnd w:id="9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7) предоставление и изъятие, в том числе для государственных нужд, земельных участков из земель всех категорий в случаях, связанных с созданием и расширением особо охраняемых природных территорий местного значения, за исключением случаев, предусмотренных подпунктом 3) статьи 13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1" w:name="z613"/>
      <w:bookmarkEnd w:id="10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8) регулирование земельных отношений в части предоставления земель, находящихся на территории одного района, города областного значения, в долгосрочное пользование другому району, городу областного значения;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2" w:name="z614"/>
      <w:bookmarkEnd w:id="11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9) предоставление и изъятие, в том числе для государственных нужд, земельных участков в случаях, предусмотренных статьей 90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Кодекса, за исключением земель лесного фонда;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3" w:name="z615"/>
      <w:bookmarkEnd w:id="12"/>
      <w:r w:rsidRPr="00D8364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      9-1) установление публичных сервитутов в соответствии со статьей 69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4" w:name="z616"/>
      <w:bookmarkEnd w:id="13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10) осуществление координации и руководства деятельностью районных, городских (областного значения) исполнительных органов в части использования и охраны земельных ресурсов;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5" w:name="z617"/>
      <w:bookmarkEnd w:id="14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10-1) представление на согласование в центральный уполномоченный орган предложений по вопросам предоставления земельных участков сельскохозяйственного назначения иностранцам, лицам без гражданства и иностранным юридическим лицам;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6" w:name="z1590"/>
      <w:bookmarkEnd w:id="15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10-2) представление полугодовых и годовых отчетов уполномоченному органу в области развития агропромышленного комплекса о: </w:t>
      </w:r>
    </w:p>
    <w:bookmarkEnd w:id="16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рациональном использовании пастбищ;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проведении мероприятий по борьбе с деградацией и опустыниванием пастбищ;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кормоемкости пастбищ;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состоянии объектов пастбищной инфраструктуры;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7" w:name="z1615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10-3) представление на согласование в государственные органы, указанные в части второй пункта 1 статьи 120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Кодекса, материалов по вопросам предоставления и изъятия земельных участков для нужд обороны и национальной безопасности;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8" w:name="z1616"/>
      <w:bookmarkEnd w:id="17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10-4) предоставление и изъятие земельных участков для нужд обороны и национальной безопасности;</w:t>
      </w:r>
    </w:p>
    <w:bookmarkEnd w:id="18"/>
    <w:p w:rsidR="0091107E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19" w:name="z618"/>
      <w:r>
        <w:rPr>
          <w:rFonts w:ascii="Times New Roman" w:hAnsi="Times New Roman" w:cs="Times New Roman"/>
          <w:color w:val="000000"/>
          <w:sz w:val="28"/>
          <w:szCs w:val="28"/>
        </w:rPr>
        <w:t>   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12) осуществление в интересах местного государственного управления иных полномочий, возлагаемых на местные исполнительные органы законодательством Республики Казахстан.</w:t>
      </w:r>
    </w:p>
    <w:p w:rsidR="0091107E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1107E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20" w:name="z20"/>
      <w:bookmarkStart w:id="21" w:name="_GoBack"/>
      <w:bookmarkEnd w:id="19"/>
      <w:bookmarkEnd w:id="21"/>
    </w:p>
    <w:p w:rsidR="0091107E" w:rsidRPr="00733CFF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D8364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33CFF">
        <w:rPr>
          <w:rFonts w:ascii="Times New Roman" w:hAnsi="Times New Roman" w:cs="Times New Roman"/>
          <w:b/>
          <w:i/>
          <w:color w:val="000000"/>
          <w:sz w:val="28"/>
          <w:szCs w:val="28"/>
        </w:rPr>
        <w:t>Компетенция районного (кроме районов в городах) исполнительного органа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(районный акимат)</w:t>
      </w:r>
    </w:p>
    <w:bookmarkEnd w:id="20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К компетенции районного (кроме районов в городах) исполнительного органа в области регулирования земельных отношений в пределах границ района относятся: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2" w:name="z631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1) предоставление земельных участков в частную собственность и землепользование, за исключением случаев, предусмотренных статьями 13, 16, 18 и 19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3" w:name="z632"/>
      <w:bookmarkEnd w:id="22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1-1) установление публичных сервитутов для целей недропользования, связанных с геологическим изучением и разведкой полезных ископаемых;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4" w:name="z1620"/>
      <w:bookmarkEnd w:id="23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1-2) формирование состава земельной комиссии, разработка положения о ней и направление на утверждение в соответствующий местный представительный орган;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5" w:name="z633"/>
      <w:bookmarkEnd w:id="24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2) изъятие земельных участков, в том числе для государственных нужд, за исключением случаев, предус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мотренных статьями 13, 16 и 18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Земельного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6" w:name="z1621"/>
      <w:bookmarkEnd w:id="25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2-1) осуществление государственного контроля за использованием и охраной земель сельскохозяйственного назначения;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7" w:name="z1622"/>
      <w:bookmarkEnd w:id="26"/>
      <w:r w:rsidRPr="00D8364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      2-2) предоставление информации в центральный уполномоченный орган о лицах, у которых принудительно изъяты земельные участки на основании вступившего в законную силу решения суда в соответствии со статьями 92 и 93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bookmarkEnd w:id="27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28" w:name="z635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      4) разработка проектов земельно-хозяйственного устройства территории населенных пунктов, включая сельскохозяйственные угодья, переданные в ведение сельских исполнительных органов, для утверждения соответствующим представительным органом и обеспечение их выполнения;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9" w:name="z636"/>
      <w:bookmarkEnd w:id="28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4-1) резервирование земель в соответствии со статьей 49-2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0" w:name="z637"/>
      <w:bookmarkEnd w:id="29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5) выдача разрешений на использование земельного участка для изыскательских работ согласно пункту 2 статьи 71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1" w:name="z638"/>
      <w:bookmarkEnd w:id="30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5-1) установление публичных сервитутов в соответствии со статьей 69 </w:t>
      </w:r>
      <w:r w:rsidR="009F30C3">
        <w:rPr>
          <w:rFonts w:ascii="Times New Roman" w:hAnsi="Times New Roman" w:cs="Times New Roman"/>
          <w:color w:val="000000"/>
          <w:sz w:val="28"/>
          <w:szCs w:val="28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2" w:name="z639"/>
      <w:bookmarkEnd w:id="31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5-2) размещение утвержденных проектов земельно-хозяйственного устройства территории населенных пунктов на специальных информационных стендах в местах, доступных для населения;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3" w:name="z640"/>
      <w:bookmarkEnd w:id="32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6) образование специального земельного фонда;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4" w:name="z641"/>
      <w:bookmarkEnd w:id="33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      8) представление на утверждение проектов (схем) зонирования земель представительному органу района;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5" w:name="z1591"/>
      <w:bookmarkEnd w:id="34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8-1) разработка совместно с акимами города районного значения, поселка, села, сельского округа и органами местного самоуправления, внесение на утверждение местному представительному органу района Плана по управлению пастбищами и их использованию;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6" w:name="z1592"/>
      <w:bookmarkEnd w:id="35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8-2) обеспечение реализации Плана по управлению пастбищами и их использованию и представление ежегодного отчета об итогах его реализации местному представительному органу района;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7" w:name="z1737"/>
      <w:bookmarkEnd w:id="36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8-3) направление предписания в Государственную корпорацию на установление и прекращение обременения права на земельный участок в соответствии с час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тью третьей пункта 2 статьи 94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bookmarkEnd w:id="37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38" w:name="z643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10) осуществление в интересах местного государственного управления иных полномочий, возлагаемых на местные исполнительные органы законодательством Республики Казахстан.</w:t>
      </w:r>
    </w:p>
    <w:p w:rsidR="0091107E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39" w:name="z21"/>
      <w:bookmarkEnd w:id="38"/>
      <w:r>
        <w:rPr>
          <w:rFonts w:ascii="Times New Roman" w:hAnsi="Times New Roman" w:cs="Times New Roman"/>
          <w:color w:val="FF0000"/>
          <w:sz w:val="28"/>
          <w:szCs w:val="28"/>
        </w:rPr>
        <w:t>   </w:t>
      </w:r>
    </w:p>
    <w:p w:rsidR="0091107E" w:rsidRPr="00733CFF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D8364A">
        <w:rPr>
          <w:rFonts w:ascii="Times New Roman" w:hAnsi="Times New Roman" w:cs="Times New Roman"/>
          <w:b/>
          <w:color w:val="000000"/>
          <w:sz w:val="28"/>
          <w:szCs w:val="28"/>
        </w:rPr>
        <w:t>Компетенция местного исполнительного органа города областного значения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(акимат города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например 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Семей, Риддер)</w:t>
      </w:r>
    </w:p>
    <w:bookmarkEnd w:id="39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К компетенции местного исполнительного органа города областного значения в области регулирования земельных отношений в пределах границ (черты) города и на территории, переданной в его административное подчинение, относятся: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0" w:name="z644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1) предоставление земельных участков в частную собственность и землепользование, за исключением случаев, предусмотренных статьями 13, 16 и 19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Земельного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1" w:name="z1623"/>
      <w:bookmarkEnd w:id="40"/>
      <w:r w:rsidRPr="00D8364A">
        <w:rPr>
          <w:rFonts w:ascii="Times New Roman" w:hAnsi="Times New Roman" w:cs="Times New Roman"/>
          <w:color w:val="000000"/>
          <w:sz w:val="28"/>
          <w:szCs w:val="28"/>
        </w:rPr>
        <w:lastRenderedPageBreak/>
        <w:t>      1-1) формирование состава земельной комиссии, разработка положения о ней и направление на утверждение в соответствующий местный представительный орган;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2" w:name="z645"/>
      <w:bookmarkEnd w:id="41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2) изъятие земельных участков, в том числе для государственных нужд, за исключением случаев, предусмотренных статьями 13 и 16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3" w:name="z646"/>
      <w:bookmarkEnd w:id="42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2-1) отнесение земельных участков к землям общего пользования на землях населенных пунктов, а также исключение из состава земель общего пользования в связи с изменением их целевого назначения;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4" w:name="z1624"/>
      <w:bookmarkEnd w:id="43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2-2) осуществление государственного контроля за использованием и охраной земель сельскохозяйственного назначения;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5" w:name="z1625"/>
      <w:bookmarkEnd w:id="44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2-3) предоставление информации в центральный уполномоченный орган о лицах, у которых принудительно изъяты земельные участки на основании вступившего в законную силу решения суда в соответствии со статьями 92 и 93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bookmarkEnd w:id="45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46" w:name="z648"/>
      <w:r>
        <w:rPr>
          <w:rFonts w:ascii="Times New Roman" w:hAnsi="Times New Roman" w:cs="Times New Roman"/>
          <w:color w:val="000000"/>
          <w:sz w:val="28"/>
          <w:szCs w:val="28"/>
        </w:rPr>
        <w:t>  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4) разработка проектов земельно-хозяйственного устройства территории населенных пунктов, находящихся в его административном подчинении, для утверждения соответствующим представительным органом и обеспечение их выполнения;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7" w:name="z649"/>
      <w:bookmarkEnd w:id="46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4-1) резервирование земель в соответствии со статьей 49-2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8" w:name="z650"/>
      <w:bookmarkEnd w:id="47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5) выдача разрешений на использование земельного участка для изыскательских работ согласно пункту 2 статьи 71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9" w:name="z651"/>
      <w:bookmarkEnd w:id="48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5-1) установление публичных сервитутов в соответствии со статьей 69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0" w:name="z652"/>
      <w:bookmarkEnd w:id="49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5-2) размещение утвержденных проектов земельно-хозяйственного устройства территории населенных пунктов на специальных информационных стендах в местах, доступных для населения;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1" w:name="z653"/>
      <w:bookmarkEnd w:id="50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6) образование специального земельного фонда;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2" w:name="z654"/>
      <w:bookmarkEnd w:id="51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      8) представление на утверждение проектов (схем) зонирования земель представительному органу города областного значения;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3" w:name="z1593"/>
      <w:bookmarkEnd w:id="52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8-1) разработка совместно с акимами города районного значения, поселка, села, сельского округа и органами местного самоуправления, внесение на утверждение местному представительному органу города областного значения Плана по управлению пастбищами и их использованию;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4" w:name="z1594"/>
      <w:bookmarkEnd w:id="53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8-2) обеспечение реализации Плана по управлению пастбищами и их использованию и представление ежегодного отчета об итогах его реализации местному представительному органу города областного значения;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5" w:name="z1738"/>
      <w:bookmarkEnd w:id="54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8-3) направление предписания в Государственную корпорацию на установление и прекращение обременения права на земельный участок в соответствии с частью третьей пункта 2 статьи 94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bookmarkEnd w:id="55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FF0000"/>
          <w:sz w:val="28"/>
          <w:szCs w:val="28"/>
        </w:rPr>
        <w:t>     </w:t>
      </w:r>
      <w:bookmarkStart w:id="56" w:name="z656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10) осуществление в интересах местного государственного управления иных полномочий, возлагаемых на местные исполнительные органы законодательством Республики Казахстан.</w:t>
      </w:r>
    </w:p>
    <w:p w:rsidR="0091107E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57" w:name="z22"/>
      <w:bookmarkEnd w:id="56"/>
    </w:p>
    <w:p w:rsidR="0091107E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1107E" w:rsidRPr="002B4957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B4957">
        <w:rPr>
          <w:rFonts w:ascii="Times New Roman" w:hAnsi="Times New Roman" w:cs="Times New Roman"/>
          <w:b/>
          <w:i/>
          <w:color w:val="000000"/>
          <w:sz w:val="28"/>
          <w:szCs w:val="28"/>
        </w:rPr>
        <w:t>Компетенция акимов города районного значения, поселка, села, сельских округов</w:t>
      </w:r>
    </w:p>
    <w:bookmarkEnd w:id="57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К компетенции акимов города районного значения, поселка, села, сельских округов в области регулирования земельных отношений в пределах границы (черты) города, поселка, сельского населенного пункта относятся: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8" w:name="z657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1) предоставление земельных участков в частную собственность и землепользование, за исключением случаев, предусмотренных статьями 13 и 16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 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9" w:name="z658"/>
      <w:bookmarkEnd w:id="58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1-1) установление публичных сервитутов в соответствии со статьей 69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0" w:name="z659"/>
      <w:bookmarkEnd w:id="59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2) внесение предложений в районный (городской) акимат по вопросу изъятия земельных участков, в том числе для государственных нужд;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1" w:name="z1595"/>
      <w:bookmarkEnd w:id="60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4) обеспечение реализации Плана по управлению пастбищами и их использованию и представление ежегодного отчета об итогах его реализации органу местного самоуправления (сходу местного сообщества);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2" w:name="z1739"/>
      <w:bookmarkEnd w:id="61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4-1) направление предписания в Государственную корпорацию на установление и прекращение обременения права на земельный участок в соответствии с частью третьей пункта 2 статьи 94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Земельного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Кодекса;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3" w:name="z1596"/>
      <w:bookmarkEnd w:id="62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5) опубликование в средствах массовой информации, распространяемых на соответствующих территориях, ежегодных отчетов об итогах реализации Плана по управлению пастбищами и их использованию;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4" w:name="z1626"/>
      <w:bookmarkEnd w:id="63"/>
      <w:r w:rsidRPr="00D8364A">
        <w:rPr>
          <w:rFonts w:ascii="Times New Roman" w:hAnsi="Times New Roman" w:cs="Times New Roman"/>
          <w:color w:val="000000"/>
          <w:sz w:val="28"/>
          <w:szCs w:val="28"/>
        </w:rPr>
        <w:t>      6) осуществление государственного контроля за использованием и охраной земель;</w:t>
      </w:r>
    </w:p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5" w:name="z1627"/>
      <w:bookmarkEnd w:id="64"/>
      <w:r w:rsidRPr="00D8364A">
        <w:rPr>
          <w:rFonts w:ascii="Times New Roman" w:hAnsi="Times New Roman" w:cs="Times New Roman"/>
          <w:color w:val="000000"/>
          <w:sz w:val="28"/>
          <w:szCs w:val="28"/>
        </w:rPr>
        <w:t xml:space="preserve">       7) предоставление информации в соответствующий уполномоченный орган по контролю за использованием и охраной земель о лицах, у которых принудительно изъяты земельные участки на основании вступившего в законную силу решения суда в соответствии со статьей 93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Земельного </w:t>
      </w:r>
      <w:r w:rsidRPr="00D8364A">
        <w:rPr>
          <w:rFonts w:ascii="Times New Roman" w:hAnsi="Times New Roman" w:cs="Times New Roman"/>
          <w:color w:val="000000"/>
          <w:sz w:val="28"/>
          <w:szCs w:val="28"/>
        </w:rPr>
        <w:t>Кодекса.</w:t>
      </w:r>
    </w:p>
    <w:bookmarkEnd w:id="65"/>
    <w:p w:rsidR="0091107E" w:rsidRPr="00D8364A" w:rsidRDefault="0091107E" w:rsidP="009110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19F9" w:rsidRDefault="001D19F9"/>
    <w:sectPr w:rsidR="001D1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0CA"/>
    <w:rsid w:val="001D19F9"/>
    <w:rsid w:val="0091107E"/>
    <w:rsid w:val="009F30C3"/>
    <w:rsid w:val="00BA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AD69D3-AC96-45EF-8F7F-CBAAAA08D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1761</Words>
  <Characters>10044</Characters>
  <Application>Microsoft Office Word</Application>
  <DocSecurity>0</DocSecurity>
  <Lines>83</Lines>
  <Paragraphs>23</Paragraphs>
  <ScaleCrop>false</ScaleCrop>
  <Company>diakov.net</Company>
  <LinksUpToDate>false</LinksUpToDate>
  <CharactersWithSpaces>11782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2020-09-06T12:29:00Z</dcterms:created>
  <dcterms:modified xsi:type="dcterms:W3CDTF">2020-09-06T12:42:00Z</dcterms:modified>
</cp:coreProperties>
</file>